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sz w:val="28"/>
          <w:szCs w:val="24"/>
        </w:rPr>
      </w:pPr>
    </w:p>
    <w:p>
      <w:pPr>
        <w:jc w:val="both"/>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eastAsia="zh-CN"/>
        </w:rPr>
        <w:t>第六讲</w:t>
      </w:r>
      <w:r>
        <w:rPr>
          <w:rFonts w:hint="eastAsia" w:ascii="方正小标宋简体" w:hAnsi="方正小标宋简体" w:eastAsia="方正小标宋简体" w:cs="方正小标宋简体"/>
          <w:b w:val="0"/>
          <w:bCs w:val="0"/>
          <w:sz w:val="44"/>
          <w:szCs w:val="44"/>
          <w:lang w:val="en-US" w:eastAsia="zh-CN"/>
        </w:rPr>
        <w:t xml:space="preserve">  </w:t>
      </w:r>
      <w:r>
        <w:rPr>
          <w:rFonts w:hint="eastAsia" w:ascii="方正小标宋简体" w:hAnsi="方正小标宋简体" w:eastAsia="方正小标宋简体" w:cs="方正小标宋简体"/>
          <w:b w:val="0"/>
          <w:bCs w:val="0"/>
          <w:sz w:val="44"/>
          <w:szCs w:val="44"/>
        </w:rPr>
        <w:t>糖尿病急性并发症的诊治进展</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jc w:val="left"/>
        <w:textAlignment w:val="auto"/>
        <w:outlineLvl w:val="9"/>
        <w:rPr>
          <w:rFonts w:hint="eastAsia" w:ascii="仿宋_GB2312" w:hAnsi="仿宋_GB2312" w:eastAsia="仿宋_GB2312" w:cs="仿宋_GB2312"/>
          <w:bCs/>
          <w:sz w:val="32"/>
          <w:szCs w:val="32"/>
        </w:rPr>
      </w:pPr>
      <w:r>
        <w:rPr>
          <w:rFonts w:hint="eastAsia"/>
          <w:bCs/>
          <w:sz w:val="24"/>
          <w:szCs w:val="24"/>
          <w:lang w:val="en-US" w:eastAsia="zh-CN"/>
        </w:rPr>
        <w:t xml:space="preserve">      </w:t>
      </w:r>
      <w:r>
        <w:rPr>
          <w:rFonts w:hint="eastAsia" w:ascii="仿宋_GB2312" w:hAnsi="仿宋_GB2312" w:eastAsia="仿宋_GB2312" w:cs="仿宋_GB2312"/>
          <w:bCs/>
          <w:sz w:val="32"/>
          <w:szCs w:val="32"/>
          <w:lang w:val="en-US" w:eastAsia="zh-CN"/>
        </w:rPr>
        <w:t xml:space="preserve"> </w:t>
      </w:r>
      <w:r>
        <w:rPr>
          <w:rFonts w:hint="eastAsia" w:ascii="仿宋_GB2312" w:hAnsi="仿宋_GB2312" w:eastAsia="仿宋_GB2312" w:cs="仿宋_GB2312"/>
          <w:bCs/>
          <w:sz w:val="32"/>
          <w:szCs w:val="32"/>
        </w:rPr>
        <w:t>解放军第九〇〇医院内分泌科  林忆阳</w:t>
      </w:r>
    </w:p>
    <w:p>
      <w:pPr>
        <w:keepNext w:val="0"/>
        <w:keepLines w:val="0"/>
        <w:pageBreakBefore w:val="0"/>
        <w:kinsoku/>
        <w:wordWrap/>
        <w:overflowPunct/>
        <w:topLinePunct w:val="0"/>
        <w:autoSpaceDE/>
        <w:autoSpaceDN/>
        <w:bidi w:val="0"/>
        <w:adjustRightInd/>
        <w:snapToGrid/>
        <w:spacing w:line="590" w:lineRule="exact"/>
        <w:ind w:right="0" w:rightChars="0"/>
        <w:textAlignment w:val="auto"/>
        <w:outlineLvl w:val="9"/>
        <w:rPr>
          <w:rFonts w:hint="eastAsia"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糖尿病急性并发症主要包括糖尿病酮症酸中毒、高渗性高血糖状态和糖尿病低血糖。</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一、糖尿病酮症酸中毒</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糖尿病酮症酸中毒（DKA）是由于胰岛素不足和升糖激素不适当升高引起的糖、脂肪和蛋白质代谢严重紊乱综合征，临床以高血糖、高血酮和代谢性酸中毒为主要特征。</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1型糖尿病与2型糖尿病均可发生DKA。DKA的发生常有诱因，包括急性感染、胰岛素不适当减量或突然中断治疗、饮食不当、胃肠疾病、脑卒中、心肌梗死、创伤、手术、妊娠、分娩、精神刺激等。</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1、DKA常见的临床表现</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DKA最初表现为多尿、烦渴多饮与乏力症状加重。随病情进展，出现显著消化道症状，如：恶心、呕吐、腹痛等。当病情发展到严重阶段，出现神经系统症状，如：头痛、烦躁、神志改变，并终至昏迷。</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体格检查时，典型体征为：呼气中有烂苹果味（丙酮气味），其他体征有皮肤弹性差、心率快、血压下降、四肢厥冷、反射迟钝。</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2、DKA首要的实验室检查</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首要的实验室检查应包括：血常规、血糖、血尿素氮、血肌酐、血酮体、血电解质、血渗透压、血气分析、尿常规、尿酮体等。</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3、DKA的诊断</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如血酮体≥3mmol/L，血糖&gt;13.9mmol/L，血pH&lt;7.3，无论有无糖尿病病史，都可诊断为DKA。</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并根据血pH值下降程度与意识状态改变程度的不同，将DKA分为轻、中、重三种程度。</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20" w:firstLineChars="200"/>
        <w:jc w:val="center"/>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drawing>
          <wp:anchor distT="0" distB="0" distL="114300" distR="114300" simplePos="0" relativeHeight="251659264" behindDoc="0" locked="0" layoutInCell="1" allowOverlap="1">
            <wp:simplePos x="0" y="0"/>
            <wp:positionH relativeFrom="margin">
              <wp:align>center</wp:align>
            </wp:positionH>
            <wp:positionV relativeFrom="paragraph">
              <wp:posOffset>464820</wp:posOffset>
            </wp:positionV>
            <wp:extent cx="5913120" cy="769620"/>
            <wp:effectExtent l="0" t="0" r="0" b="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5913120" cy="769620"/>
                    </a:xfrm>
                    <a:prstGeom prst="rect">
                      <a:avLst/>
                    </a:prstGeom>
                  </pic:spPr>
                </pic:pic>
              </a:graphicData>
            </a:graphic>
          </wp:anchor>
        </w:drawing>
      </w:r>
      <w:r>
        <w:rPr>
          <w:rFonts w:hint="eastAsia" w:ascii="仿宋_GB2312" w:hAnsi="仿宋_GB2312" w:eastAsia="仿宋_GB2312" w:cs="仿宋_GB2312"/>
          <w:b/>
          <w:bCs/>
          <w:sz w:val="32"/>
          <w:szCs w:val="32"/>
        </w:rPr>
        <w:t>表1 不同程度DKA的诊断标准</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4、DKA的紧急救治</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首先建立两组静脉通道，一组补液，另一组补充胰岛素。</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(1)补液</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能纠正失水，恢复血容量和肾灌注，有助于降低血糖和清除酮体。</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治疗中补液速度应先快后慢，第1小时输入生理盐水，速度为15~20ml·kg⁻¹·h⁻（¹一般成人1.0~1.5L）。随后补液速度取决于脱水程度、电解质水平、尿量等。要在第1个24h内补足预先估计的液体丢失量，补液治疗是否奏效，要看血流动力学（如血压）、出入量、实验室指标及临床表现。对有心、肾功能不全者，在补液过程中要监测血浆渗透压，并经常对患者的心脏、肾脏、神经系统状况进行评估以防止补液过快。</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补液纠正后，若血清中钠离子水平正常或增高，输注生理盐水的同时，以250~500ml/h的速度补充0.45%氯化钠溶液，若血钠水平低于正常，则仅输注生理盐水。</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当血糖降到≤11.1mmol/L时，需用含胰岛素的5%葡萄糖溶液或葡萄糖氯化钠溶液替代生理盐水，以防低血糖的发生。</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(2)胰岛素</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因皮下常规胰岛素起效延迟、半衰期延长，常规胰岛素持续静脉输注半衰期短、易滴定，故静脉注射方式作为首选途径。</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2020年版《中国2型糖尿病防治指南》推荐，采用连续胰岛素静脉输注（0.1U·kg⁻¹·h⁻¹），但对于重症患者，可采用首剂静脉注射胰岛素0.1U/kg，随后以0.1U·kg⁻¹·h⁻¹速度持续输注，胰岛素静脉输注过程中需严密监测血糖，根据血糖下降速度调整输液速度以保持血糖每小时下降2.8~4.2mmol/L。若第1小时内血糖下降不足10%，或有条件监测血酮时，血酮下降速度&lt;0.5mmol·L⁻¹·h⁻¹，且脱水已经基本纠正，则增加胰岛素剂量1U/h。</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KA患者血糖降至11.1mmol/L时，应减少胰岛素输入量至0.02~0.05U·kg⁻¹·h⁻¹，并开始给予5%葡萄糖液，此后需要根据血糖来调整胰岛素给药速度和葡萄糖浓度，使血糖维持在8.3~11.1mmol/L，同时持续进行胰岛素滴注直至DKA缓解。DKA缓解标准参考如下：血糖＜11.1mmoL/L，血酮＜0.3mmol/L，血清HCO3</w:t>
      </w:r>
      <w:r>
        <w:rPr>
          <w:rFonts w:hint="eastAsia" w:ascii="仿宋_GB2312" w:hAnsi="仿宋_GB2312" w:eastAsia="仿宋_GB2312" w:cs="仿宋_GB2312"/>
          <w:sz w:val="32"/>
          <w:szCs w:val="32"/>
          <w:vertAlign w:val="superscript"/>
        </w:rPr>
        <w:t>-</w:t>
      </w:r>
      <w:r>
        <w:rPr>
          <w:rFonts w:hint="eastAsia" w:ascii="仿宋_GB2312" w:hAnsi="仿宋_GB2312" w:eastAsia="仿宋_GB2312" w:cs="仿宋_GB2312"/>
          <w:sz w:val="32"/>
          <w:szCs w:val="32"/>
        </w:rPr>
        <w:t>≥15mmol/L，血pH值＞7.3，阴离子间隙≤12mmol/L。不能依靠监测尿酮值来确定DKA的缓解，因为尿酮在DKA缓解时仍可存在。DKA缓解后可转换为胰岛素皮下注射。</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（3）补钾治疗</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开始补液和胰岛素治疗之后，患者尿量正常的情况下，如果血钾＜5.2mmol/L，就始补钾，治疗目标是将血清钾离子水平维持在4~5mol/L的正常范围内，一般加入氯化钾1.5~3.0g/L至溶液中。对于在治疗前已有低钾血症且尿量≥40ml/h的患者，在补液和胰岛素治疗同时必须补钾。而对于极少数严重低钾血症（血钾＜3.3mmol/L）的患者，应在补液及胰岛素治疗之前先进行补钾治疗，当血钾升至3.3mmol/L时，再开始胰岛素治疗，以免发生致死性心律失常、心脏骤停和呼吸肌麻痹。</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(4)补碱治疗</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DKA患者在注射胰岛素治疗后会抑制脂肪分解，进而纠正酸中毒，如无循环衰竭，一般无需额外补碱。</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指南推荐，仅在pH≤6.9的患者考虑适当补碱治疗。治疗过程中每2h复查一次pH值，直至pH值维持在7.0以上。治疗中加强复查，防止过量。</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在治疗过程，应准确记录液体入量及出量、血糖及血酮变化。</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二、高渗性高血糖状态</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高渗性高血糖状态（HHS）是糖尿病的严重急性并发症之一，临床以严重高血糖而无明显DKA、血浆渗透压显著升高、脱水和意识障碍为特征。</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HHS的发病机制与DKA略有不同。HHS患者体内还保留一定的胰岛素水平，故机体不会以产生酮体的方式代谢游离脂肪酸。虽然患者体内保留有一定的胰岛素，但胰岛素仍处于相对不足的水平，如同时存在其它应激因素导致升糖激素分泌增多，可使血糖水平显著升高，血浆渗透压增高，从而发生渗透性利尿。机体在没有足够水分摄入的情况下出现脱水，因血容量不足而导致肾前性肾功能不全，从而导致尿糖排除减少，进一步升高血糖水平，加重高渗性脱水，导致意识改变。</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1、HHS的临床表现</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HHS起病隐匿，一般从开始发病到出现意识障碍需要1~2周，约30%~40%无糖尿病病史。</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常先出现口渴、多尿和乏力等糖尿病症状，或原有症状进一步加重，多食不明显，有时甚至表现为厌食。</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病情逐渐加重出现典型症状，主要表现为脱水和神经系统两组症状和体征。通常患者的血浆渗透压&gt;320mOsm/L时，即可以出现精神症状，如淡漠、嗜睡等；当血浆渗透压&gt;350mOsm/L时，可出现定向力障碍、幻觉、上肢拍击样粗震颤、癫痫样发作、偏瘫、偏盲、失语、视觉障碍、昏迷和阳性病理征。</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2、HHS的诊断标准</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（1）血糖≥33.3mmol/L；（2）有效血浆渗透压≥320mOsm/L；（3）血清HCO</w:t>
      </w:r>
      <w:r>
        <w:rPr>
          <w:rFonts w:hint="eastAsia" w:ascii="仿宋_GB2312" w:hAnsi="仿宋_GB2312" w:eastAsia="仿宋_GB2312" w:cs="仿宋_GB2312"/>
          <w:sz w:val="32"/>
          <w:szCs w:val="32"/>
          <w:vertAlign w:val="superscript"/>
        </w:rPr>
        <w:t>-3</w:t>
      </w:r>
      <w:r>
        <w:rPr>
          <w:rFonts w:hint="eastAsia" w:ascii="仿宋_GB2312" w:hAnsi="仿宋_GB2312" w:eastAsia="仿宋_GB2312" w:cs="仿宋_GB2312"/>
          <w:sz w:val="32"/>
          <w:szCs w:val="32"/>
        </w:rPr>
        <w:t>≥18mmol/L或动脉血pH≥7.30；（4）尿糖呈强阳性，而血酮体及尿酮阴性或为弱阳性；（5）阴离子间隙&lt;12mmol/L。</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3、HHS的紧急救治</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HHS病情危重、并发症多，病死率高于DKA，强调早期诊断和治疗。治疗原则同DKA，主要包括积极补液，纠正脱水；小剂量胰岛素静脉输注控制血糖；纠正水、电解质和酸碱失衡以及去除诱因和治疗并发症。</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补液：HHS失水比DKA更严重，24h总的补液量一般应为100~200ml/kg。推荐0.9%氯化钠溶液作为首选。补液速度与DKA治疗相仿，第1小时给予1.0~1.5L，随后补液速度根据脱水程度、电解质水平、血渗透压、尿量等调整。治疗开始时应每小时检测或计算血有效渗透压，血有效渗透压=2×（［Na</w:t>
      </w:r>
      <w:r>
        <w:rPr>
          <w:rFonts w:hint="eastAsia" w:ascii="仿宋_GB2312" w:hAnsi="仿宋_GB2312" w:eastAsia="仿宋_GB2312" w:cs="仿宋_GB2312"/>
          <w:sz w:val="32"/>
          <w:szCs w:val="32"/>
          <w:vertAlign w:val="superscript"/>
        </w:rPr>
        <w:t>+</w:t>
      </w:r>
      <w:r>
        <w:rPr>
          <w:rFonts w:hint="eastAsia" w:ascii="仿宋_GB2312" w:hAnsi="仿宋_GB2312" w:eastAsia="仿宋_GB2312" w:cs="仿宋_GB2312"/>
          <w:sz w:val="32"/>
          <w:szCs w:val="32"/>
        </w:rPr>
        <w:t>］+［K</w:t>
      </w:r>
      <w:r>
        <w:rPr>
          <w:rFonts w:hint="eastAsia" w:ascii="仿宋_GB2312" w:hAnsi="仿宋_GB2312" w:eastAsia="仿宋_GB2312" w:cs="仿宋_GB2312"/>
          <w:sz w:val="32"/>
          <w:szCs w:val="32"/>
          <w:vertAlign w:val="superscript"/>
        </w:rPr>
        <w:t>+</w:t>
      </w:r>
      <w:r>
        <w:rPr>
          <w:rFonts w:hint="eastAsia" w:ascii="仿宋_GB2312" w:hAnsi="仿宋_GB2312" w:eastAsia="仿宋_GB2312" w:cs="仿宋_GB2312"/>
          <w:sz w:val="32"/>
          <w:szCs w:val="32"/>
        </w:rPr>
        <w:t>］）（mmoL/L）+血糖（mmol/L），并据此调整输液速度以使其逐渐下降，速度为3~8mOsm·kg⁻¹·h⁻¹。HHS患者补液本身即可使血糖下降，当血糖下降至16.7mmol/L时需补充5%含糖液，直到血糖得到控制。</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胰岛素治疗：胰岛素使用原则与治疗DKA大致相同，一般来说HHS患者对胰岛素较为敏感，胰岛素用量相对较小。推荐以0.1U·kg⁻¹·h⁻¹持续静脉输注。当血糖降至16.7mmol/L时，应减慢胰岛素的滴注速度至0.02~0.05U·kg⁻¹·h⁻¹，同时续以葡萄糖溶液静滴，并不断调整胰岛素用量和葡萄糖浓度，使血糖维持在13.9~16.7mmoL/L，直至HHS高血糖危象缓解。HHS缓解主要表现为血渗透压水平降至正常、患者意识状态恢复正常。</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（3）HHS患者存在缺钾，补钾原则与DKA相同。</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三、低血糖</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低血糖是糖尿病急性并发症之一，在糖尿病的治疗过程中，如因治</w:t>
      </w:r>
      <w:bookmarkStart w:id="0" w:name="_GoBack"/>
      <w:bookmarkEnd w:id="0"/>
      <w:r>
        <w:rPr>
          <w:rFonts w:hint="eastAsia" w:ascii="仿宋_GB2312" w:hAnsi="仿宋_GB2312" w:eastAsia="仿宋_GB2312" w:cs="仿宋_GB2312"/>
          <w:sz w:val="32"/>
          <w:szCs w:val="32"/>
        </w:rPr>
        <w:t>疗不当，很可能发生血糖过低现象。低血糖可导致不适甚至生命危险，也是血糖达标的主要障碍，应该引起特别注意。</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1、低血糖的诊断标准</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对非糖尿病患者来说，低血糖症的诊断标准为血糖&lt;2.8mmol/L，而接受药物治疗的糖尿病患者，只要血糖&lt;3.9mmol/L就属于低血糖。</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2、可引起低血糖的降糖药物</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胰岛素、磺脲类和非磺脲类胰岛素促泌剂均可引起低血糖。</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甲双胍、α‐糖苷酶抑制剂、噻唑烷二酮、二肽基肽酶Ⅳ抑制剂（DPP‐4i）、胰高糖素样肽‐1受体激动剂（GLP‐1RA）和钠‐葡萄糖共转运蛋白2抑制剂（SGLT2i）不增加低血糖风险，这些药物单用一般不诱发低血糖，但和胰岛素及胰岛素促泌剂联合治疗时则可引起低血糖。</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3、临床表现</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低血糖的临床表现与血糖水平以及血糖的下降速度有关，可表现为交感神经兴奋（如心悸、焦虑、出汗、头晕、手抖、饥饿感等）和中枢神经症状（如神志改变、认知障碍、抽搐和昏迷）。老年患者发生低血糖时常可表现为行为异常或其他非典型症状。有些患者发生低血糖时可无明显的临床症状，称为无症状性低血糖，也称为无感知性低血糖或无意识性低血糖。屡发低血糖的患者，可表现为无先兆症状的低血糖昏迷。</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4、低血糖分级</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（1）1级低血糖：血糖&lt;3.9mmol/L且≥3.0mmol/L。</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（2）2级低血糖：血糖&lt;3.0mmol/L。</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（3）3级低血糖：：需要他人帮助治疗的严重事件，伴有意识和（或）躯体改变，但没有特定血糖界限。</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5、低血糖的可能诱因和预防对策</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低血糖重在预防，常见诱因及预防对策如下：</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（1）未按时进食，或进食过少，或呕吐、腹泻：患者应定时、定量进餐，如果进餐量减少或呕吐、腹泻时，需相应减少降糖药物剂量，同时加强血糖监测。</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（2）酒精摄入，尤其是空腹饮酒：酒精能直接导致低血糖，应避免酗酒和空腹饮酒。</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（3）运动增加：运动前应增加额外的碳水化合物摄入，预防低血糖发生。</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（4）胰岛素及胰岛素促泌剂的应用：使用这些药物应从小剂量开始，逐渐增加剂量，并做好血糖监测。患者如出现低血糖，应积极寻找原因，及时调整治疗方案和药物剂量。</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血糖控制目标过严：严格的血糖控制会增加低血糖的风险，并且严重低血糖可能与患者死亡风险增加有关，因此，对有低血糖尤其是严重低血糖或反复发生低血糖的糖尿病患者除调整治疗方案外还应适当放宽血糖控制目标。</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(6)应常规随身备用碳水化合物类食品，一旦发生低血糖，立即食用。</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6、低血糖的紧急救治</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（1）怀疑低血糖时立即测血糖，以明确诊断；无法测定时，暂按低血糖处理。</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（2）意识清楚者，口服15~20克糖类食品（葡萄糖片为佳）。</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（3）意识障碍者，给予50%葡萄糖液20~40ml静脉注射。</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（4）每15分钟复测血糖1次，如果血糖仍然≤3.9mmol/L，再给予葡萄糖口服或者静脉注射；如果血糖&gt;3.9mmol/L，但离下一次就餐时间在1小时以上，应给予含淀粉食物。</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（5）如反复低血糖，难以纠正，静脉注射5%葡萄糖，并可加用糖皮质激素。</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（6）如有意识障碍，在意识恢复后，至少监测血糖24~48小时。</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（7）务必了解发生低血糖的原因，尤其是长效磺脲类药物或中长效胰岛素所致低血糖，持续时间较长，容易复发，不宜让患者回家，应在医院给予相应的监护的治疗，直至血糖平稳。</w:t>
      </w:r>
    </w:p>
    <w:p>
      <w:pPr>
        <w:keepNext w:val="0"/>
        <w:keepLines w:val="0"/>
        <w:pageBreakBefore w:val="0"/>
        <w:widowControl/>
        <w:kinsoku/>
        <w:wordWrap/>
        <w:overflowPunct/>
        <w:topLinePunct w:val="0"/>
        <w:autoSpaceDE/>
        <w:autoSpaceDN/>
        <w:bidi w:val="0"/>
        <w:adjustRightInd/>
        <w:snapToGrid/>
        <w:spacing w:line="590" w:lineRule="exact"/>
        <w:ind w:left="0" w:leftChars="0" w:right="0" w:rightChars="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br w:type="page"/>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附测试题（单选题）</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1、下列哪项不是酮症酸中毒的典型临床表现？（ ）</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A多尿、烦渴、多饮症状加重；</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 恶心、呕吐、腹痛</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 胸闷、胸痛、血压升高</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 头痛、烦躁、神志改变</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  呼气中有烂苹果味</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2、糖尿病酮症酸中毒的诊断标准为：（ ）</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血酮体≥1mmol/L，血糖&gt;13.9mmol/L，血pH&lt;7.3</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 血酮体≥2mmol/L，血糖&gt;16.7mmol/L，血pH&lt;7.2</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 血酮体≥3mmol/L，血糖&gt;16.7mmol/L，血pH&lt;7.2</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D血酮体≥3mmol/L，血糖&gt;13.9mmol/L，血pH&lt;7.3</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 血酮体≥1mmol/L，血糖&gt;13.9mmol/L，血pH&lt;7.2</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3、1型糖尿病患者，嗜睡，血糖17.9mmol/L，血pH 7.15，血浆有效渗透压290mOsm/L，该患者应诊断为：（ ）</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轻度DKA</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 中度DKA</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 重度DKA</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 HHS</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4、抢救糖尿病酮症酸中毒，首要的治疗措施是：（ ）</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补充0.9%NaCl</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 补充0.45%NaCl</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 连续静脉输注胰岛素0.1 U·kg⁻¹·h⁻¹；</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 连续静脉输注胰岛素0.2U·kg⁻¹·h⁻¹；</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 皮下注射胰岛素0.1 U/kg</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5、糖尿病酮症酸中毒患者，经积极抢救，现血糖已经降至10.0mmol/L，血酮1.5mmol/L，此时应：（ ）</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停止静脉滴注胰岛素，改为皮下注射，并开始补充5%葡萄糖；</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 停止静脉滴注胰岛素，改为皮下注射，并开始补充10%葡萄糖；</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 继续静脉滴注胰岛素，输入量为0.05~0.10 U·kg⁻¹·h⁻¹，同时补充5%葡萄糖；</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 继续静脉滴注胰岛素，输入量为0.02~0.05 U·kg⁻¹·h⁻¹，同时补充10%葡萄糖；</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 继续静脉滴注胰岛素，输入量为0.02~0.05 U·kg⁻¹·h⁻¹，同时补充5%葡萄糖。</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女性，19岁，诊断为1型糖尿病2年，因牙龈肿痛进食减少，停用胰岛素2天，出现嗜睡，呼吸有烂苹果味，查血糖20mmol/L，给予补液，胰岛素及静脉输入碳酸氢钠治疗后，患者一度神志好转，但不久患者出现昏迷，其原因最可能为：（ ）</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低血糖昏迷</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 脑水肿</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 高渗性昏迷</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 脑血管意外</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 乳酸酸中毒</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7、男性，72岁，糖尿病1年，不规律服药治疗。近日口渴、多饮，尿量明显增多，2天前着凉后发热，自服阿司匹林降温，大汗淋漓，4小时前呼之不应来诊，考虑为高渗性高血糖状态。该病易发生神经精神症状是由于以下因素，除了：（ ）  </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 继发性醛固酮增多加重高钠血症</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 严重高血糖</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 严重失水</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 脑细胞脱水</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 老年人神经精神兴奋性降低</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8、高渗性高血糖状态，对胰岛素较为敏感，因此当血糖低于（ ）时，应减慢胰岛素的滴速为（ ）。</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 </w:t>
      </w:r>
      <w:r>
        <w:rPr>
          <w:rFonts w:hint="eastAsia" w:ascii="仿宋_GB2312" w:hAnsi="仿宋_GB2312" w:eastAsia="仿宋_GB2312" w:cs="仿宋_GB2312"/>
          <w:kern w:val="0"/>
          <w:sz w:val="32"/>
          <w:szCs w:val="32"/>
        </w:rPr>
        <w:t>13.9mmol/L  0.02~0.05U·kg⁻¹·h⁻¹</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B </w:t>
      </w:r>
      <w:r>
        <w:rPr>
          <w:rFonts w:hint="eastAsia" w:ascii="仿宋_GB2312" w:hAnsi="仿宋_GB2312" w:eastAsia="仿宋_GB2312" w:cs="仿宋_GB2312"/>
          <w:kern w:val="0"/>
          <w:sz w:val="32"/>
          <w:szCs w:val="32"/>
        </w:rPr>
        <w:t>16.7mmol/L  0.05~0.10U·kg⁻¹·h⁻¹</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C </w:t>
      </w:r>
      <w:r>
        <w:rPr>
          <w:rFonts w:hint="eastAsia" w:ascii="仿宋_GB2312" w:hAnsi="仿宋_GB2312" w:eastAsia="仿宋_GB2312" w:cs="仿宋_GB2312"/>
          <w:kern w:val="0"/>
          <w:sz w:val="32"/>
          <w:szCs w:val="32"/>
        </w:rPr>
        <w:t>16.7mmol/L  0.02~0.05U·kg⁻¹·h⁻¹</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D </w:t>
      </w:r>
      <w:r>
        <w:rPr>
          <w:rFonts w:hint="eastAsia" w:ascii="仿宋_GB2312" w:hAnsi="仿宋_GB2312" w:eastAsia="仿宋_GB2312" w:cs="仿宋_GB2312"/>
          <w:kern w:val="0"/>
          <w:sz w:val="32"/>
          <w:szCs w:val="32"/>
        </w:rPr>
        <w:t>11.1mmol/L  0.02~0.05U·kg⁻¹·h⁻¹</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rPr>
        <w:t xml:space="preserve">E </w:t>
      </w:r>
      <w:r>
        <w:rPr>
          <w:rFonts w:hint="eastAsia" w:ascii="仿宋_GB2312" w:hAnsi="仿宋_GB2312" w:eastAsia="仿宋_GB2312" w:cs="仿宋_GB2312"/>
          <w:kern w:val="0"/>
          <w:sz w:val="32"/>
          <w:szCs w:val="32"/>
        </w:rPr>
        <w:t>13.9mmol/L  0.05~0.10U·kg⁻¹·h⁻¹</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9、下列各项中，除了（ ）项之外都与低血糖临床表现的严重程度密切相关？</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A 年龄</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B 低血糖发生的时间</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C 低血糖发生的速度和持续时间</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D 机体对低血糖的反应</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E 低血糖的程度</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10、女，45岁，1型糖尿病2年，3小时前注射胰岛素12U，未进食，20min前家人发现患者意识不清而将其送来急诊，查体：BP155/85mmHg，面色苍白，皮肤多汗，心率110次/分，四肢肌张力减弱，病理征（-）。正确的处理是（）</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A 立即抽血查血糖，待结果出来后再作处理</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B 快速静脉滴注生理盐水，同时静脉注射胰岛素首次负荷量后，继续以每小时每公斤体重0.1U的速率静滴</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C 立即经口给予糖水</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D 立即抽血查血糖，但不必等结果，立即给予50%葡萄糖液40~100m1静脉注射</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E 立即抽血查血糖，但不必等结果，立即静脉滴注5%葡萄糖盐水</w:t>
      </w:r>
    </w:p>
    <w:p>
      <w:pPr>
        <w:keepNext w:val="0"/>
        <w:keepLines w:val="0"/>
        <w:pageBreakBefore w:val="0"/>
        <w:kinsoku/>
        <w:wordWrap/>
        <w:overflowPunct/>
        <w:topLinePunct w:val="0"/>
        <w:autoSpaceDE/>
        <w:autoSpaceDN/>
        <w:bidi w:val="0"/>
        <w:adjustRightInd/>
        <w:snapToGrid/>
        <w:spacing w:line="590" w:lineRule="exact"/>
        <w:ind w:left="0" w:leftChars="0" w:right="0" w:rightChars="0" w:firstLine="480" w:firstLineChars="200"/>
        <w:textAlignment w:val="auto"/>
        <w:outlineLvl w:val="9"/>
        <w:rPr>
          <w:rFonts w:hint="eastAsia" w:ascii="仿宋_GB2312" w:hAnsi="仿宋_GB2312" w:eastAsia="仿宋_GB2312" w:cs="仿宋_GB2312"/>
          <w:kern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0000012" w:usb3="00000000" w:csb0="4002009F" w:csb1="DFD70000"/>
  </w:font>
  <w:font w:name="等线 Light">
    <w:panose1 w:val="02010600030101010101"/>
    <w:charset w:val="86"/>
    <w:family w:val="auto"/>
    <w:pitch w:val="default"/>
    <w:sig w:usb0="A00002BF" w:usb1="38CF7CFA" w:usb2="00000016" w:usb3="00000000" w:csb0="0004000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84C"/>
    <w:rsid w:val="0001018B"/>
    <w:rsid w:val="00051374"/>
    <w:rsid w:val="00083FCB"/>
    <w:rsid w:val="00120BB8"/>
    <w:rsid w:val="00126F1F"/>
    <w:rsid w:val="00162CC6"/>
    <w:rsid w:val="001A2539"/>
    <w:rsid w:val="001A6A42"/>
    <w:rsid w:val="001F5270"/>
    <w:rsid w:val="00227F63"/>
    <w:rsid w:val="00230101"/>
    <w:rsid w:val="00243E3B"/>
    <w:rsid w:val="00256F0E"/>
    <w:rsid w:val="00285126"/>
    <w:rsid w:val="002A0C46"/>
    <w:rsid w:val="002B600B"/>
    <w:rsid w:val="002D48F2"/>
    <w:rsid w:val="00321627"/>
    <w:rsid w:val="00330052"/>
    <w:rsid w:val="00366E8C"/>
    <w:rsid w:val="00383084"/>
    <w:rsid w:val="0038630F"/>
    <w:rsid w:val="003B0A87"/>
    <w:rsid w:val="003F1535"/>
    <w:rsid w:val="00400014"/>
    <w:rsid w:val="00402E04"/>
    <w:rsid w:val="00445562"/>
    <w:rsid w:val="00480B6B"/>
    <w:rsid w:val="004C0719"/>
    <w:rsid w:val="00530ECB"/>
    <w:rsid w:val="005B0219"/>
    <w:rsid w:val="005E0DC9"/>
    <w:rsid w:val="00626B4C"/>
    <w:rsid w:val="006337D7"/>
    <w:rsid w:val="00666EEE"/>
    <w:rsid w:val="006A67A6"/>
    <w:rsid w:val="00713F8B"/>
    <w:rsid w:val="007707AE"/>
    <w:rsid w:val="007940F5"/>
    <w:rsid w:val="007A6F75"/>
    <w:rsid w:val="00815E49"/>
    <w:rsid w:val="008232CC"/>
    <w:rsid w:val="00877219"/>
    <w:rsid w:val="008F7249"/>
    <w:rsid w:val="0090589D"/>
    <w:rsid w:val="0094358E"/>
    <w:rsid w:val="0094640D"/>
    <w:rsid w:val="009615E5"/>
    <w:rsid w:val="0097004E"/>
    <w:rsid w:val="009A4C0F"/>
    <w:rsid w:val="009B6571"/>
    <w:rsid w:val="009D4C07"/>
    <w:rsid w:val="00A451F0"/>
    <w:rsid w:val="00A45ED7"/>
    <w:rsid w:val="00A511A9"/>
    <w:rsid w:val="00A54885"/>
    <w:rsid w:val="00AB1648"/>
    <w:rsid w:val="00AB41F6"/>
    <w:rsid w:val="00AC29F9"/>
    <w:rsid w:val="00AE7B0A"/>
    <w:rsid w:val="00B202C0"/>
    <w:rsid w:val="00B63FC9"/>
    <w:rsid w:val="00B77CF1"/>
    <w:rsid w:val="00BA1E38"/>
    <w:rsid w:val="00BA78E0"/>
    <w:rsid w:val="00BC0206"/>
    <w:rsid w:val="00BC07F6"/>
    <w:rsid w:val="00BC697D"/>
    <w:rsid w:val="00BD659A"/>
    <w:rsid w:val="00BF26F5"/>
    <w:rsid w:val="00C22CC2"/>
    <w:rsid w:val="00C5097A"/>
    <w:rsid w:val="00C60718"/>
    <w:rsid w:val="00C96C26"/>
    <w:rsid w:val="00D05B81"/>
    <w:rsid w:val="00D26C5D"/>
    <w:rsid w:val="00D43898"/>
    <w:rsid w:val="00DA7E0E"/>
    <w:rsid w:val="00DB24DE"/>
    <w:rsid w:val="00E119C3"/>
    <w:rsid w:val="00E44006"/>
    <w:rsid w:val="00E4766F"/>
    <w:rsid w:val="00E6679B"/>
    <w:rsid w:val="00E911AA"/>
    <w:rsid w:val="00EA4AF1"/>
    <w:rsid w:val="00EC229F"/>
    <w:rsid w:val="00ED3441"/>
    <w:rsid w:val="00EE084C"/>
    <w:rsid w:val="00F20606"/>
    <w:rsid w:val="00F67DF4"/>
    <w:rsid w:val="00F71D50"/>
    <w:rsid w:val="1DAA18C2"/>
    <w:rsid w:val="3B88514C"/>
    <w:rsid w:val="48E62C17"/>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1"/>
    <w:qFormat/>
    <w:uiPriority w:val="9"/>
    <w:pPr>
      <w:spacing w:before="340" w:after="330" w:line="578" w:lineRule="auto"/>
      <w:jc w:val="center"/>
      <w:outlineLvl w:val="0"/>
    </w:pPr>
    <w:rPr>
      <w:b/>
      <w:bCs/>
      <w:kern w:val="44"/>
      <w:sz w:val="48"/>
      <w:szCs w:val="44"/>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3">
    <w:name w:val="footer"/>
    <w:basedOn w:val="1"/>
    <w:link w:val="13"/>
    <w:unhideWhenUsed/>
    <w:qFormat/>
    <w:uiPriority w:val="99"/>
    <w:pPr>
      <w:tabs>
        <w:tab w:val="center" w:pos="4153"/>
        <w:tab w:val="right" w:pos="8306"/>
      </w:tabs>
      <w:snapToGrid w:val="0"/>
      <w:jc w:val="left"/>
    </w:pPr>
    <w:rPr>
      <w:sz w:val="18"/>
      <w:szCs w:val="18"/>
    </w:rPr>
  </w:style>
  <w:style w:type="paragraph" w:styleId="4">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样式A"/>
    <w:basedOn w:val="1"/>
    <w:next w:val="1"/>
    <w:link w:val="8"/>
    <w:qFormat/>
    <w:uiPriority w:val="0"/>
    <w:pPr>
      <w:widowControl/>
      <w:jc w:val="center"/>
    </w:pPr>
    <w:rPr>
      <w:rFonts w:ascii="宋体" w:hAnsi="宋体" w:eastAsia="宋体" w:cs="Tahoma"/>
      <w:color w:val="000000"/>
      <w:kern w:val="0"/>
      <w:sz w:val="48"/>
      <w:szCs w:val="28"/>
    </w:rPr>
  </w:style>
  <w:style w:type="character" w:customStyle="1" w:styleId="8">
    <w:name w:val="样式A 字符"/>
    <w:basedOn w:val="5"/>
    <w:link w:val="7"/>
    <w:uiPriority w:val="0"/>
    <w:rPr>
      <w:rFonts w:ascii="宋体" w:hAnsi="宋体" w:eastAsia="宋体" w:cs="Tahoma"/>
      <w:color w:val="000000"/>
      <w:kern w:val="0"/>
      <w:sz w:val="48"/>
      <w:szCs w:val="28"/>
    </w:rPr>
  </w:style>
  <w:style w:type="paragraph" w:customStyle="1" w:styleId="9">
    <w:name w:val="样式B"/>
    <w:basedOn w:val="1"/>
    <w:next w:val="1"/>
    <w:link w:val="10"/>
    <w:qFormat/>
    <w:uiPriority w:val="0"/>
    <w:pPr>
      <w:widowControl/>
      <w:jc w:val="center"/>
    </w:pPr>
    <w:rPr>
      <w:rFonts w:ascii="宋体" w:hAnsi="宋体" w:eastAsia="宋体" w:cs="Tahoma"/>
      <w:color w:val="000000"/>
      <w:kern w:val="0"/>
      <w:sz w:val="28"/>
      <w:szCs w:val="28"/>
    </w:rPr>
  </w:style>
  <w:style w:type="character" w:customStyle="1" w:styleId="10">
    <w:name w:val="样式B 字符"/>
    <w:basedOn w:val="5"/>
    <w:link w:val="9"/>
    <w:qFormat/>
    <w:uiPriority w:val="0"/>
    <w:rPr>
      <w:rFonts w:ascii="宋体" w:hAnsi="宋体" w:eastAsia="宋体" w:cs="Tahoma"/>
      <w:color w:val="000000"/>
      <w:kern w:val="0"/>
      <w:sz w:val="28"/>
      <w:szCs w:val="28"/>
    </w:rPr>
  </w:style>
  <w:style w:type="character" w:customStyle="1" w:styleId="11">
    <w:name w:val="标题 1 Char"/>
    <w:basedOn w:val="5"/>
    <w:link w:val="2"/>
    <w:qFormat/>
    <w:uiPriority w:val="9"/>
    <w:rPr>
      <w:b/>
      <w:bCs/>
      <w:kern w:val="44"/>
      <w:sz w:val="48"/>
      <w:szCs w:val="44"/>
    </w:rPr>
  </w:style>
  <w:style w:type="character" w:customStyle="1" w:styleId="12">
    <w:name w:val="页眉 Char"/>
    <w:basedOn w:val="5"/>
    <w:link w:val="4"/>
    <w:qFormat/>
    <w:uiPriority w:val="99"/>
    <w:rPr>
      <w:sz w:val="18"/>
      <w:szCs w:val="18"/>
    </w:rPr>
  </w:style>
  <w:style w:type="character" w:customStyle="1" w:styleId="13">
    <w:name w:val="页脚 Char"/>
    <w:basedOn w:val="5"/>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960</Words>
  <Characters>5478</Characters>
  <Lines>45</Lines>
  <Paragraphs>12</Paragraphs>
  <ScaleCrop>false</ScaleCrop>
  <LinksUpToDate>false</LinksUpToDate>
  <CharactersWithSpaces>6426</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2022-02-19T03:27:00Z</dcterms:created>
  <dc:creator>林 忆阳</dc:creator>
  <cp:lastModifiedBy>lenovo</cp:lastModifiedBy>
  <dcterms:modified xsi:type="dcterms:W3CDTF">2022-02-23T07:10:54Z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